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DAD" w:rsidRDefault="00EE7003">
      <w:pPr>
        <w:widowControl/>
        <w:shd w:val="clear" w:color="auto" w:fill="FFFFFF"/>
        <w:spacing w:line="720" w:lineRule="exact"/>
        <w:jc w:val="left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广州市第四次全国经济普查公报解读一</w:t>
      </w:r>
    </w:p>
    <w:p w:rsidR="00293DAD" w:rsidRDefault="00293DAD">
      <w:pPr>
        <w:pStyle w:val="2"/>
        <w:rPr>
          <w:rFonts w:ascii="Times New Roman" w:hAnsi="Times New Roman"/>
        </w:rPr>
      </w:pPr>
    </w:p>
    <w:p w:rsidR="00293DAD" w:rsidRDefault="00EE7003">
      <w:pPr>
        <w:widowControl/>
        <w:shd w:val="clear" w:color="auto" w:fill="FFFFFF"/>
        <w:wordWrap w:val="0"/>
        <w:spacing w:line="720" w:lineRule="exact"/>
        <w:jc w:val="center"/>
        <w:rPr>
          <w:rFonts w:ascii="Times New Roman" w:eastAsia="方正小标宋_GBK" w:hAnsi="Times New Roman"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Times New Roman" w:eastAsia="方正小标宋_GBK" w:hAnsi="Times New Roman"/>
          <w:color w:val="000000"/>
          <w:kern w:val="0"/>
          <w:sz w:val="44"/>
          <w:szCs w:val="44"/>
          <w:shd w:val="clear" w:color="auto" w:fill="FFFFFF"/>
        </w:rPr>
        <w:t>市场活力迸发</w:t>
      </w:r>
    </w:p>
    <w:p w:rsidR="00293DAD" w:rsidRDefault="00EE7003">
      <w:pPr>
        <w:widowControl/>
        <w:shd w:val="clear" w:color="auto" w:fill="FFFFFF"/>
        <w:wordWrap w:val="0"/>
        <w:spacing w:line="720" w:lineRule="exact"/>
        <w:jc w:val="center"/>
        <w:rPr>
          <w:rFonts w:ascii="Times New Roman" w:eastAsia="方正小标宋_GBK" w:hAnsi="Times New Roman"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Times New Roman" w:eastAsia="方正小标宋_GBK" w:hAnsi="Times New Roman"/>
          <w:color w:val="000000"/>
          <w:kern w:val="0"/>
          <w:sz w:val="44"/>
          <w:szCs w:val="44"/>
          <w:shd w:val="clear" w:color="auto" w:fill="FFFFFF"/>
        </w:rPr>
        <w:t>法人单位数量增长近三倍</w:t>
      </w:r>
    </w:p>
    <w:p w:rsidR="00293DAD" w:rsidRDefault="00293DAD">
      <w:pPr>
        <w:widowControl/>
        <w:wordWrap w:val="0"/>
        <w:spacing w:line="60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293DAD" w:rsidRDefault="00EE7003">
      <w:pPr>
        <w:widowControl/>
        <w:wordWrap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第四次全国经济普查结果显示，我市法人单位在数量上进入高速增长期，五年来增长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2.8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倍；在产业结构上进一步优化，第三产业单位占比继续提高；在行业分布上出现增速分化，信息技术产业发展较快。</w:t>
      </w:r>
    </w:p>
    <w:p w:rsidR="00293DAD" w:rsidRDefault="00EE7003">
      <w:pPr>
        <w:widowControl/>
        <w:numPr>
          <w:ilvl w:val="0"/>
          <w:numId w:val="1"/>
        </w:numPr>
        <w:wordWrap w:val="0"/>
        <w:spacing w:line="600" w:lineRule="exact"/>
        <w:ind w:firstLineChars="200" w:firstLine="640"/>
        <w:jc w:val="left"/>
        <w:rPr>
          <w:rFonts w:ascii="Times New Roman" w:eastAsia="黑体" w:hAnsi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color w:val="333333"/>
          <w:kern w:val="0"/>
          <w:sz w:val="32"/>
          <w:szCs w:val="32"/>
          <w:shd w:val="clear" w:color="auto" w:fill="FFFFFF"/>
        </w:rPr>
        <w:t>市场活力激发，法人单位数量增长近三倍</w:t>
      </w:r>
    </w:p>
    <w:p w:rsidR="00293DAD" w:rsidRDefault="00EE7003">
      <w:pPr>
        <w:widowControl/>
        <w:wordWrap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党的十八大以来，随着商事制度改革的全面推进，市场准入门槛进一步放宽，我市营商环境持续改善，市场活力不断激发。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2018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年末，全市共有从事第二产业和第三产业的法人单位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75.16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万个，比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2013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年末（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2013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年是第三次全国经济普查年份，下同）增加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55.24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万个，增长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2.8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倍，年均增长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39.4%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，比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二经普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到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三经普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期间的年均增速（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7.4%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）高出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32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个百分点，法人单位数量呈高速增长态势。产业活动单位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  <w:vertAlign w:val="superscript"/>
        </w:rPr>
        <w:t>[1]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80.31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万个，增加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57.14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万个，增长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2.5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倍，年均增长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36.4%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。</w:t>
      </w:r>
    </w:p>
    <w:p w:rsidR="00293DAD" w:rsidRDefault="00EE7003">
      <w:pPr>
        <w:widowControl/>
        <w:wordWrap w:val="0"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 xml:space="preserve">　　</w:t>
      </w:r>
      <w:r>
        <w:rPr>
          <w:rFonts w:ascii="Times New Roman" w:eastAsia="黑体" w:hAnsi="Times New Roman"/>
          <w:color w:val="333333"/>
          <w:kern w:val="0"/>
          <w:sz w:val="32"/>
          <w:szCs w:val="32"/>
          <w:shd w:val="clear" w:color="auto" w:fill="FFFFFF"/>
        </w:rPr>
        <w:t>二、产业结构优化，第三产业发展势头强劲</w:t>
      </w:r>
    </w:p>
    <w:p w:rsidR="00293DAD" w:rsidRDefault="00EE7003">
      <w:pPr>
        <w:widowControl/>
        <w:wordWrap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2018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年末，全市从事第三产业的法人单位数量为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64.84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万个，占全部单位的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86.3%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，比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2013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年末提高了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5.7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个百分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lastRenderedPageBreak/>
        <w:t>点。第三产业法人单位从业人员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639.83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万人，占全部单位从业人员的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72.0%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，比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2013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年末提高了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11.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个百分点，第三产业就业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蓄水池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作用进一步增强。资产和营业收入方面，第三产业法人单位资产总计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17.22</w:t>
      </w:r>
      <w:proofErr w:type="gramStart"/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万亿</w:t>
      </w:r>
      <w:proofErr w:type="gramEnd"/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元，占比为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80.8%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；第三产业企业法人单位全年实现营业收入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5.17</w:t>
      </w:r>
      <w:proofErr w:type="gramStart"/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万亿</w:t>
      </w:r>
      <w:proofErr w:type="gramEnd"/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元，占比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66.1%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。</w:t>
      </w:r>
    </w:p>
    <w:p w:rsidR="00293DAD" w:rsidRDefault="00EE7003">
      <w:pPr>
        <w:widowControl/>
        <w:wordWrap w:val="0"/>
        <w:spacing w:line="600" w:lineRule="exact"/>
        <w:ind w:leftChars="200" w:left="420" w:firstLineChars="100" w:firstLine="320"/>
        <w:jc w:val="left"/>
        <w:rPr>
          <w:rFonts w:ascii="Times New Roman" w:eastAsia="黑体" w:hAnsi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color w:val="333333"/>
          <w:kern w:val="0"/>
          <w:sz w:val="32"/>
          <w:szCs w:val="32"/>
          <w:shd w:val="clear" w:color="auto" w:fill="FFFFFF"/>
        </w:rPr>
        <w:t>三、行业分布多点开花，新兴产业蓬勃发展</w:t>
      </w:r>
    </w:p>
    <w:p w:rsidR="00293DAD" w:rsidRDefault="00EE7003">
      <w:pPr>
        <w:widowControl/>
        <w:wordWrap w:val="0"/>
        <w:spacing w:line="600" w:lineRule="exact"/>
        <w:ind w:firstLineChars="200" w:firstLine="643"/>
        <w:jc w:val="left"/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Times New Roman" w:eastAsia="楷体_GB2312" w:hAnsi="Times New Roman"/>
          <w:b/>
          <w:bCs/>
          <w:color w:val="333333"/>
          <w:kern w:val="0"/>
          <w:sz w:val="32"/>
          <w:szCs w:val="32"/>
          <w:shd w:val="clear" w:color="auto" w:fill="FFFFFF"/>
        </w:rPr>
        <w:t>按比重看，</w:t>
      </w:r>
      <w:r>
        <w:rPr>
          <w:rFonts w:ascii="Times New Roman" w:eastAsia="楷体_GB2312" w:hAnsi="Times New Roman"/>
          <w:b/>
          <w:bCs/>
          <w:color w:val="333333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楷体_GB2312" w:hAnsi="Times New Roman"/>
          <w:b/>
          <w:bCs/>
          <w:color w:val="333333"/>
          <w:kern w:val="0"/>
          <w:sz w:val="32"/>
          <w:szCs w:val="32"/>
          <w:shd w:val="clear" w:color="auto" w:fill="FFFFFF"/>
        </w:rPr>
        <w:t>千年商都</w:t>
      </w:r>
      <w:r>
        <w:rPr>
          <w:rFonts w:ascii="Times New Roman" w:eastAsia="楷体_GB2312" w:hAnsi="Times New Roman"/>
          <w:b/>
          <w:bCs/>
          <w:color w:val="333333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楷体_GB2312" w:hAnsi="Times New Roman"/>
          <w:b/>
          <w:bCs/>
          <w:color w:val="333333"/>
          <w:kern w:val="0"/>
          <w:sz w:val="32"/>
          <w:szCs w:val="32"/>
          <w:shd w:val="clear" w:color="auto" w:fill="FFFFFF"/>
        </w:rPr>
        <w:t>地位稳固。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2018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年末，我市法人单位数量居前三位的行业门类为批发和零售业，租赁和商务服务业，制造业，占全部单位的比重分别为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34.7%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、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16.5%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、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10.2%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，合计份额超过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60%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。</w:t>
      </w:r>
    </w:p>
    <w:p w:rsidR="00293DAD" w:rsidRDefault="00EE7003">
      <w:pPr>
        <w:widowControl/>
        <w:wordWrap w:val="0"/>
        <w:spacing w:line="600" w:lineRule="exact"/>
        <w:ind w:firstLineChars="200" w:firstLine="643"/>
        <w:jc w:val="left"/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Times New Roman" w:eastAsia="楷体_GB2312" w:hAnsi="Times New Roman"/>
          <w:b/>
          <w:bCs/>
          <w:color w:val="333333"/>
          <w:kern w:val="0"/>
          <w:sz w:val="32"/>
          <w:szCs w:val="32"/>
          <w:shd w:val="clear" w:color="auto" w:fill="FFFFFF"/>
        </w:rPr>
        <w:t>按增速看，不同行业增速出现分化。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与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2013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年末相比，所有行业的法人单位数量均有不同幅度的增长，但增速出现分化（见表一）。其中，信息传输、软件和信息技术服务业，建筑业，科学研究和技术服务业增速较高，五年来分别增长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6.3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倍、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6.0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倍和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5.6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倍。采矿业，卫生和社会工作，制造业增速较低，分别增长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1.1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倍、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1.1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倍和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1.2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倍。</w:t>
      </w:r>
    </w:p>
    <w:p w:rsidR="00293DAD" w:rsidRDefault="00293DAD">
      <w:pPr>
        <w:pStyle w:val="2"/>
        <w:rPr>
          <w:rFonts w:ascii="Times New Roman" w:hAnsi="Times New Roman"/>
        </w:rPr>
      </w:pPr>
    </w:p>
    <w:p w:rsidR="00293DAD" w:rsidRDefault="00293DAD">
      <w:pPr>
        <w:pStyle w:val="2"/>
        <w:rPr>
          <w:rFonts w:ascii="Times New Roman" w:hAnsi="Times New Roman"/>
        </w:rPr>
      </w:pPr>
    </w:p>
    <w:p w:rsidR="00293DAD" w:rsidRDefault="00293DAD">
      <w:pPr>
        <w:pStyle w:val="2"/>
        <w:rPr>
          <w:rFonts w:ascii="Times New Roman" w:hAnsi="Times New Roman"/>
        </w:rPr>
      </w:pPr>
    </w:p>
    <w:p w:rsidR="00293DAD" w:rsidRDefault="00293DAD">
      <w:pPr>
        <w:pStyle w:val="2"/>
        <w:rPr>
          <w:rFonts w:ascii="Times New Roman" w:hAnsi="Times New Roman"/>
        </w:rPr>
      </w:pPr>
    </w:p>
    <w:p w:rsidR="00293DAD" w:rsidRDefault="00EE7003">
      <w:pPr>
        <w:widowControl/>
        <w:wordWrap w:val="0"/>
        <w:spacing w:line="400" w:lineRule="exact"/>
        <w:jc w:val="center"/>
        <w:rPr>
          <w:rFonts w:ascii="Times New Roman" w:eastAsiaTheme="minorEastAsia" w:hAnsi="Times New Roman"/>
          <w:b/>
          <w:bCs/>
          <w:sz w:val="24"/>
        </w:rPr>
      </w:pPr>
      <w:r>
        <w:rPr>
          <w:rFonts w:ascii="Times New Roman" w:eastAsiaTheme="minorEastAsia" w:hAnsi="Times New Roman"/>
          <w:b/>
          <w:bCs/>
          <w:color w:val="333333"/>
          <w:kern w:val="0"/>
          <w:sz w:val="24"/>
          <w:shd w:val="clear" w:color="auto" w:fill="FFFFFF"/>
        </w:rPr>
        <w:t>表</w:t>
      </w:r>
      <w:r>
        <w:rPr>
          <w:rFonts w:ascii="Times New Roman" w:eastAsiaTheme="minorEastAsia" w:hAnsi="Times New Roman" w:hint="eastAsia"/>
          <w:b/>
          <w:bCs/>
          <w:color w:val="333333"/>
          <w:kern w:val="0"/>
          <w:sz w:val="24"/>
          <w:shd w:val="clear" w:color="auto" w:fill="FFFFFF"/>
        </w:rPr>
        <w:t>1</w:t>
      </w:r>
      <w:r>
        <w:rPr>
          <w:rFonts w:ascii="Times New Roman" w:eastAsiaTheme="minorEastAsia" w:hAnsi="Times New Roman"/>
          <w:b/>
          <w:bCs/>
          <w:color w:val="333333"/>
          <w:kern w:val="0"/>
          <w:sz w:val="24"/>
          <w:shd w:val="clear" w:color="auto" w:fill="FFFFFF"/>
        </w:rPr>
        <w:t xml:space="preserve">　按行业门类分组的法人单位数</w:t>
      </w:r>
      <w:r>
        <w:rPr>
          <w:rFonts w:ascii="Times New Roman" w:eastAsiaTheme="minorEastAsia" w:hAnsi="Times New Roman"/>
          <w:b/>
          <w:bCs/>
          <w:color w:val="333333"/>
          <w:kern w:val="0"/>
          <w:sz w:val="24"/>
        </w:rPr>
        <w:t> </w:t>
      </w:r>
    </w:p>
    <w:tbl>
      <w:tblPr>
        <w:tblW w:w="856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1455"/>
        <w:gridCol w:w="1269"/>
        <w:gridCol w:w="1331"/>
        <w:gridCol w:w="1121"/>
      </w:tblGrid>
      <w:tr w:rsidR="00293DAD">
        <w:trPr>
          <w:trHeight w:val="567"/>
          <w:tblHeader/>
          <w:jc w:val="center"/>
        </w:trPr>
        <w:tc>
          <w:tcPr>
            <w:tcW w:w="339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ind w:left="57" w:right="57"/>
              <w:jc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455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ind w:left="57" w:right="57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Cs w:val="21"/>
              </w:rPr>
              <w:t>法人单位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Cs w:val="21"/>
              </w:rPr>
              <w:t>(</w:t>
            </w:r>
            <w:proofErr w:type="gramStart"/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Cs w:val="21"/>
              </w:rPr>
              <w:t>个</w:t>
            </w:r>
            <w:proofErr w:type="gramEnd"/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269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ind w:left="57" w:right="57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Cs w:val="21"/>
              </w:rPr>
              <w:t>比重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Cs w:val="21"/>
              </w:rPr>
              <w:t>(%)</w:t>
            </w:r>
          </w:p>
        </w:tc>
        <w:tc>
          <w:tcPr>
            <w:tcW w:w="1331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ind w:left="57" w:right="57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Cs w:val="21"/>
              </w:rPr>
              <w:t>比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Cs w:val="21"/>
              </w:rPr>
              <w:t>2013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Cs w:val="21"/>
              </w:rPr>
              <w:t>年增加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Cs w:val="21"/>
              </w:rPr>
              <w:t>(</w:t>
            </w:r>
            <w:proofErr w:type="gramStart"/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Cs w:val="21"/>
              </w:rPr>
              <w:t>个</w:t>
            </w:r>
            <w:proofErr w:type="gramEnd"/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121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ind w:left="57" w:right="57"/>
              <w:jc w:val="center"/>
              <w:rPr>
                <w:rFonts w:ascii="Times New Roman" w:eastAsiaTheme="minorEastAsia" w:hAnsi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Cs w:val="21"/>
              </w:rPr>
              <w:t>比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Cs w:val="21"/>
              </w:rPr>
              <w:t>2013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Cs w:val="21"/>
              </w:rPr>
              <w:t>年增长</w:t>
            </w:r>
            <w:r>
              <w:rPr>
                <w:rFonts w:ascii="Times New Roman" w:eastAsiaTheme="minorEastAsia" w:hAnsi="Times New Roman"/>
                <w:b/>
                <w:bCs/>
                <w:color w:val="000000" w:themeColor="text1"/>
                <w:kern w:val="0"/>
                <w:szCs w:val="21"/>
              </w:rPr>
              <w:t>(%)</w:t>
            </w:r>
          </w:p>
        </w:tc>
      </w:tr>
      <w:tr w:rsidR="00293DAD">
        <w:trPr>
          <w:trHeight w:val="283"/>
          <w:jc w:val="center"/>
        </w:trPr>
        <w:tc>
          <w:tcPr>
            <w:tcW w:w="33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kern w:val="0"/>
                <w:szCs w:val="21"/>
              </w:rPr>
              <w:t>合　计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ind w:right="110"/>
              <w:jc w:val="right"/>
              <w:textAlignment w:val="top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kern w:val="0"/>
                <w:szCs w:val="21"/>
              </w:rPr>
              <w:t>751580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ind w:right="110"/>
              <w:jc w:val="right"/>
              <w:textAlignment w:val="top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kern w:val="0"/>
                <w:szCs w:val="21"/>
              </w:rPr>
              <w:t>100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jc w:val="right"/>
              <w:textAlignment w:val="center"/>
              <w:rPr>
                <w:rFonts w:ascii="Times New Roman" w:eastAsiaTheme="minorEastAsia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Cs w:val="21"/>
              </w:rPr>
              <w:t xml:space="preserve">552339 </w:t>
            </w:r>
          </w:p>
        </w:tc>
        <w:tc>
          <w:tcPr>
            <w:tcW w:w="1121" w:type="dxa"/>
            <w:noWrap/>
            <w:vAlign w:val="bottom"/>
          </w:tcPr>
          <w:p w:rsidR="00293DAD" w:rsidRDefault="00EE7003">
            <w:pPr>
              <w:widowControl/>
              <w:spacing w:line="400" w:lineRule="exact"/>
              <w:jc w:val="right"/>
              <w:textAlignment w:val="bottom"/>
              <w:rPr>
                <w:rFonts w:ascii="Times New Roman" w:eastAsiaTheme="minorEastAsia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Cs w:val="21"/>
              </w:rPr>
              <w:t>277.2</w:t>
            </w:r>
          </w:p>
        </w:tc>
      </w:tr>
      <w:tr w:rsidR="00293DAD">
        <w:trPr>
          <w:trHeight w:val="283"/>
          <w:jc w:val="center"/>
        </w:trPr>
        <w:tc>
          <w:tcPr>
            <w:tcW w:w="33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lastRenderedPageBreak/>
              <w:t>采矿业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top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56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0.0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jc w:val="righ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29 </w:t>
            </w:r>
          </w:p>
        </w:tc>
        <w:tc>
          <w:tcPr>
            <w:tcW w:w="1121" w:type="dxa"/>
            <w:noWrap/>
            <w:vAlign w:val="bottom"/>
          </w:tcPr>
          <w:p w:rsidR="00293DAD" w:rsidRDefault="00EE7003">
            <w:pPr>
              <w:widowControl/>
              <w:spacing w:line="400" w:lineRule="exact"/>
              <w:jc w:val="right"/>
              <w:textAlignment w:val="bottom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107.4</w:t>
            </w:r>
          </w:p>
        </w:tc>
      </w:tr>
      <w:tr w:rsidR="00293DAD">
        <w:trPr>
          <w:trHeight w:val="283"/>
          <w:jc w:val="center"/>
        </w:trPr>
        <w:tc>
          <w:tcPr>
            <w:tcW w:w="33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制造业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top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76363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10.2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jc w:val="righ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41498 </w:t>
            </w:r>
          </w:p>
        </w:tc>
        <w:tc>
          <w:tcPr>
            <w:tcW w:w="1121" w:type="dxa"/>
            <w:noWrap/>
            <w:vAlign w:val="bottom"/>
          </w:tcPr>
          <w:p w:rsidR="00293DAD" w:rsidRDefault="00EE7003">
            <w:pPr>
              <w:widowControl/>
              <w:spacing w:line="400" w:lineRule="exact"/>
              <w:jc w:val="right"/>
              <w:textAlignment w:val="bottom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119.0</w:t>
            </w:r>
          </w:p>
        </w:tc>
      </w:tr>
      <w:tr w:rsidR="00293DAD">
        <w:trPr>
          <w:trHeight w:val="283"/>
          <w:jc w:val="center"/>
        </w:trPr>
        <w:tc>
          <w:tcPr>
            <w:tcW w:w="33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电力、热力、燃气及水生产和供应业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top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658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0.1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jc w:val="righ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466 </w:t>
            </w:r>
          </w:p>
        </w:tc>
        <w:tc>
          <w:tcPr>
            <w:tcW w:w="1121" w:type="dxa"/>
            <w:noWrap/>
            <w:vAlign w:val="bottom"/>
          </w:tcPr>
          <w:p w:rsidR="00293DAD" w:rsidRDefault="00EE7003">
            <w:pPr>
              <w:widowControl/>
              <w:spacing w:line="400" w:lineRule="exact"/>
              <w:jc w:val="right"/>
              <w:textAlignment w:val="bottom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242.7</w:t>
            </w:r>
          </w:p>
        </w:tc>
      </w:tr>
      <w:tr w:rsidR="00293DAD">
        <w:trPr>
          <w:trHeight w:val="283"/>
          <w:jc w:val="center"/>
        </w:trPr>
        <w:tc>
          <w:tcPr>
            <w:tcW w:w="33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建筑业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top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27401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3.6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jc w:val="righ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23472 </w:t>
            </w:r>
          </w:p>
        </w:tc>
        <w:tc>
          <w:tcPr>
            <w:tcW w:w="1121" w:type="dxa"/>
            <w:noWrap/>
            <w:vAlign w:val="bottom"/>
          </w:tcPr>
          <w:p w:rsidR="00293DAD" w:rsidRDefault="00EE7003">
            <w:pPr>
              <w:widowControl/>
              <w:spacing w:line="400" w:lineRule="exact"/>
              <w:jc w:val="right"/>
              <w:textAlignment w:val="bottom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597.4</w:t>
            </w:r>
          </w:p>
        </w:tc>
      </w:tr>
      <w:tr w:rsidR="00293DAD">
        <w:trPr>
          <w:trHeight w:val="283"/>
          <w:jc w:val="center"/>
        </w:trPr>
        <w:tc>
          <w:tcPr>
            <w:tcW w:w="33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批发和零售业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top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260746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34.7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jc w:val="righ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195589 </w:t>
            </w:r>
          </w:p>
        </w:tc>
        <w:tc>
          <w:tcPr>
            <w:tcW w:w="1121" w:type="dxa"/>
            <w:noWrap/>
            <w:vAlign w:val="bottom"/>
          </w:tcPr>
          <w:p w:rsidR="00293DAD" w:rsidRDefault="00EE7003">
            <w:pPr>
              <w:widowControl/>
              <w:spacing w:line="400" w:lineRule="exact"/>
              <w:jc w:val="right"/>
              <w:textAlignment w:val="bottom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300.2</w:t>
            </w:r>
          </w:p>
        </w:tc>
      </w:tr>
      <w:tr w:rsidR="00293DAD">
        <w:trPr>
          <w:trHeight w:val="283"/>
          <w:jc w:val="center"/>
        </w:trPr>
        <w:tc>
          <w:tcPr>
            <w:tcW w:w="33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交通运输、仓储和邮政业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top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19029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2.5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jc w:val="righ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13239 </w:t>
            </w:r>
          </w:p>
        </w:tc>
        <w:tc>
          <w:tcPr>
            <w:tcW w:w="1121" w:type="dxa"/>
            <w:noWrap/>
            <w:vAlign w:val="bottom"/>
          </w:tcPr>
          <w:p w:rsidR="00293DAD" w:rsidRDefault="00EE7003">
            <w:pPr>
              <w:widowControl/>
              <w:spacing w:line="400" w:lineRule="exact"/>
              <w:jc w:val="right"/>
              <w:textAlignment w:val="bottom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228.7</w:t>
            </w:r>
          </w:p>
        </w:tc>
      </w:tr>
      <w:tr w:rsidR="00293DAD">
        <w:trPr>
          <w:trHeight w:val="283"/>
          <w:jc w:val="center"/>
        </w:trPr>
        <w:tc>
          <w:tcPr>
            <w:tcW w:w="33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住宿和餐饮业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top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15923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2.1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jc w:val="righ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11036 </w:t>
            </w:r>
          </w:p>
        </w:tc>
        <w:tc>
          <w:tcPr>
            <w:tcW w:w="1121" w:type="dxa"/>
            <w:noWrap/>
            <w:vAlign w:val="bottom"/>
          </w:tcPr>
          <w:p w:rsidR="00293DAD" w:rsidRDefault="00EE7003">
            <w:pPr>
              <w:widowControl/>
              <w:spacing w:line="400" w:lineRule="exact"/>
              <w:jc w:val="right"/>
              <w:textAlignment w:val="bottom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225.8</w:t>
            </w:r>
          </w:p>
        </w:tc>
      </w:tr>
      <w:tr w:rsidR="00293DAD">
        <w:trPr>
          <w:trHeight w:val="283"/>
          <w:jc w:val="center"/>
        </w:trPr>
        <w:tc>
          <w:tcPr>
            <w:tcW w:w="33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信息传输、软件和信息技术服务业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top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58137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7.7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jc w:val="righ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50184 </w:t>
            </w:r>
          </w:p>
        </w:tc>
        <w:tc>
          <w:tcPr>
            <w:tcW w:w="1121" w:type="dxa"/>
            <w:noWrap/>
            <w:vAlign w:val="bottom"/>
          </w:tcPr>
          <w:p w:rsidR="00293DAD" w:rsidRDefault="00EE7003">
            <w:pPr>
              <w:widowControl/>
              <w:spacing w:line="400" w:lineRule="exact"/>
              <w:jc w:val="right"/>
              <w:textAlignment w:val="bottom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631.0</w:t>
            </w:r>
          </w:p>
        </w:tc>
      </w:tr>
      <w:tr w:rsidR="00293DAD">
        <w:trPr>
          <w:trHeight w:val="283"/>
          <w:jc w:val="center"/>
        </w:trPr>
        <w:tc>
          <w:tcPr>
            <w:tcW w:w="33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房地产业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top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30396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4.0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jc w:val="righ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19268 </w:t>
            </w:r>
          </w:p>
        </w:tc>
        <w:tc>
          <w:tcPr>
            <w:tcW w:w="1121" w:type="dxa"/>
            <w:noWrap/>
            <w:vAlign w:val="bottom"/>
          </w:tcPr>
          <w:p w:rsidR="00293DAD" w:rsidRDefault="00EE7003">
            <w:pPr>
              <w:widowControl/>
              <w:spacing w:line="400" w:lineRule="exact"/>
              <w:jc w:val="right"/>
              <w:textAlignment w:val="bottom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173.1</w:t>
            </w:r>
          </w:p>
        </w:tc>
      </w:tr>
      <w:tr w:rsidR="00293DAD">
        <w:trPr>
          <w:trHeight w:val="283"/>
          <w:jc w:val="center"/>
        </w:trPr>
        <w:tc>
          <w:tcPr>
            <w:tcW w:w="33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租赁和商务服务业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top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124005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16.5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jc w:val="righ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92616 </w:t>
            </w:r>
          </w:p>
        </w:tc>
        <w:tc>
          <w:tcPr>
            <w:tcW w:w="1121" w:type="dxa"/>
            <w:noWrap/>
            <w:vAlign w:val="bottom"/>
          </w:tcPr>
          <w:p w:rsidR="00293DAD" w:rsidRDefault="00EE7003">
            <w:pPr>
              <w:widowControl/>
              <w:spacing w:line="400" w:lineRule="exact"/>
              <w:jc w:val="right"/>
              <w:textAlignment w:val="bottom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295.1</w:t>
            </w:r>
          </w:p>
        </w:tc>
      </w:tr>
      <w:tr w:rsidR="00293DAD">
        <w:trPr>
          <w:trHeight w:val="283"/>
          <w:jc w:val="center"/>
        </w:trPr>
        <w:tc>
          <w:tcPr>
            <w:tcW w:w="33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科学研究和技术服务业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top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69008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9.2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jc w:val="righ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58523 </w:t>
            </w:r>
          </w:p>
        </w:tc>
        <w:tc>
          <w:tcPr>
            <w:tcW w:w="1121" w:type="dxa"/>
            <w:noWrap/>
            <w:vAlign w:val="bottom"/>
          </w:tcPr>
          <w:p w:rsidR="00293DAD" w:rsidRDefault="00EE7003">
            <w:pPr>
              <w:widowControl/>
              <w:spacing w:line="400" w:lineRule="exact"/>
              <w:jc w:val="right"/>
              <w:textAlignment w:val="bottom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558.2</w:t>
            </w:r>
          </w:p>
        </w:tc>
      </w:tr>
      <w:tr w:rsidR="00293DAD">
        <w:trPr>
          <w:trHeight w:val="283"/>
          <w:jc w:val="center"/>
        </w:trPr>
        <w:tc>
          <w:tcPr>
            <w:tcW w:w="33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水利、环境和公共设施管理业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top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2250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0.3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jc w:val="righ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1358 </w:t>
            </w:r>
          </w:p>
        </w:tc>
        <w:tc>
          <w:tcPr>
            <w:tcW w:w="1121" w:type="dxa"/>
            <w:noWrap/>
            <w:vAlign w:val="bottom"/>
          </w:tcPr>
          <w:p w:rsidR="00293DAD" w:rsidRDefault="00EE7003">
            <w:pPr>
              <w:widowControl/>
              <w:spacing w:line="400" w:lineRule="exact"/>
              <w:jc w:val="right"/>
              <w:textAlignment w:val="bottom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152.2</w:t>
            </w:r>
          </w:p>
        </w:tc>
      </w:tr>
      <w:tr w:rsidR="00293DAD">
        <w:trPr>
          <w:trHeight w:val="283"/>
          <w:jc w:val="center"/>
        </w:trPr>
        <w:tc>
          <w:tcPr>
            <w:tcW w:w="33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居民服务、修理和其他服务业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top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16060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2.1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jc w:val="righ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11803 </w:t>
            </w:r>
          </w:p>
        </w:tc>
        <w:tc>
          <w:tcPr>
            <w:tcW w:w="1121" w:type="dxa"/>
            <w:noWrap/>
            <w:vAlign w:val="bottom"/>
          </w:tcPr>
          <w:p w:rsidR="00293DAD" w:rsidRDefault="00EE7003">
            <w:pPr>
              <w:widowControl/>
              <w:spacing w:line="400" w:lineRule="exact"/>
              <w:jc w:val="right"/>
              <w:textAlignment w:val="bottom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277.3</w:t>
            </w:r>
          </w:p>
        </w:tc>
      </w:tr>
      <w:tr w:rsidR="00293DAD">
        <w:trPr>
          <w:trHeight w:val="283"/>
          <w:jc w:val="center"/>
        </w:trPr>
        <w:tc>
          <w:tcPr>
            <w:tcW w:w="33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教育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top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13090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1.7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jc w:val="righ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8559 </w:t>
            </w:r>
          </w:p>
        </w:tc>
        <w:tc>
          <w:tcPr>
            <w:tcW w:w="1121" w:type="dxa"/>
            <w:noWrap/>
            <w:vAlign w:val="bottom"/>
          </w:tcPr>
          <w:p w:rsidR="00293DAD" w:rsidRDefault="00EE7003">
            <w:pPr>
              <w:widowControl/>
              <w:spacing w:line="400" w:lineRule="exact"/>
              <w:jc w:val="right"/>
              <w:textAlignment w:val="bottom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188.9</w:t>
            </w:r>
          </w:p>
        </w:tc>
      </w:tr>
      <w:tr w:rsidR="00293DAD">
        <w:trPr>
          <w:trHeight w:val="283"/>
          <w:jc w:val="center"/>
        </w:trPr>
        <w:tc>
          <w:tcPr>
            <w:tcW w:w="339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卫生和社会工作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top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3509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0.5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jc w:val="righ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1841 </w:t>
            </w:r>
          </w:p>
        </w:tc>
        <w:tc>
          <w:tcPr>
            <w:tcW w:w="1121" w:type="dxa"/>
            <w:noWrap/>
            <w:vAlign w:val="bottom"/>
          </w:tcPr>
          <w:p w:rsidR="00293DAD" w:rsidRDefault="00EE7003">
            <w:pPr>
              <w:widowControl/>
              <w:spacing w:line="400" w:lineRule="exact"/>
              <w:jc w:val="right"/>
              <w:textAlignment w:val="bottom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110.4</w:t>
            </w:r>
          </w:p>
        </w:tc>
      </w:tr>
      <w:tr w:rsidR="00293DAD">
        <w:trPr>
          <w:trHeight w:val="283"/>
          <w:jc w:val="center"/>
        </w:trPr>
        <w:tc>
          <w:tcPr>
            <w:tcW w:w="339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文化、体育和娱乐业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top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19049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>2.5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jc w:val="right"/>
              <w:textAlignment w:val="center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 xml:space="preserve">15930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293DAD" w:rsidRDefault="00EE7003">
            <w:pPr>
              <w:widowControl/>
              <w:spacing w:line="400" w:lineRule="exact"/>
              <w:jc w:val="right"/>
              <w:textAlignment w:val="bottom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510.7</w:t>
            </w:r>
          </w:p>
        </w:tc>
      </w:tr>
      <w:tr w:rsidR="00293DAD">
        <w:trPr>
          <w:trHeight w:val="283"/>
          <w:jc w:val="center"/>
        </w:trPr>
        <w:tc>
          <w:tcPr>
            <w:tcW w:w="8568" w:type="dxa"/>
            <w:gridSpan w:val="5"/>
            <w:noWrap/>
            <w:vAlign w:val="center"/>
          </w:tcPr>
          <w:p w:rsidR="00293DAD" w:rsidRDefault="00EE7003">
            <w:pPr>
              <w:widowControl/>
              <w:spacing w:line="400" w:lineRule="exact"/>
              <w:ind w:left="57" w:right="57"/>
              <w:jc w:val="left"/>
              <w:rPr>
                <w:rFonts w:ascii="Times New Roman" w:eastAsiaTheme="minorEastAsia" w:hAnsi="Times New Roman"/>
                <w:color w:val="000000" w:themeColor="text1"/>
                <w:szCs w:val="21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kern w:val="0"/>
                <w:szCs w:val="21"/>
              </w:rPr>
              <w:t xml:space="preserve">　</w:t>
            </w:r>
            <w:r>
              <w:rPr>
                <w:rFonts w:ascii="Times New Roman" w:eastAsia="楷体" w:hAnsi="Times New Roman"/>
                <w:color w:val="333333"/>
                <w:kern w:val="0"/>
                <w:sz w:val="24"/>
              </w:rPr>
              <w:t>注：表中合计</w:t>
            </w:r>
            <w:proofErr w:type="gramStart"/>
            <w:r>
              <w:rPr>
                <w:rFonts w:ascii="Times New Roman" w:eastAsia="楷体" w:hAnsi="Times New Roman"/>
                <w:color w:val="333333"/>
                <w:kern w:val="0"/>
                <w:sz w:val="24"/>
              </w:rPr>
              <w:t>数含从事</w:t>
            </w:r>
            <w:proofErr w:type="gramEnd"/>
            <w:r>
              <w:rPr>
                <w:rFonts w:ascii="Times New Roman" w:eastAsia="楷体" w:hAnsi="Times New Roman"/>
                <w:color w:val="333333"/>
                <w:kern w:val="0"/>
                <w:sz w:val="24"/>
              </w:rPr>
              <w:t>农、林、牧、</w:t>
            </w:r>
            <w:proofErr w:type="gramStart"/>
            <w:r>
              <w:rPr>
                <w:rFonts w:ascii="Times New Roman" w:eastAsia="楷体" w:hAnsi="Times New Roman"/>
                <w:color w:val="333333"/>
                <w:kern w:val="0"/>
                <w:sz w:val="24"/>
              </w:rPr>
              <w:t>渔专业</w:t>
            </w:r>
            <w:proofErr w:type="gramEnd"/>
            <w:r>
              <w:rPr>
                <w:rFonts w:ascii="Times New Roman" w:eastAsia="楷体" w:hAnsi="Times New Roman"/>
                <w:color w:val="333333"/>
                <w:kern w:val="0"/>
                <w:sz w:val="24"/>
              </w:rPr>
              <w:t>及辅助性活动、兼营第二、三产业活动的农、林、牧、渔业和金融业法人单位。</w:t>
            </w:r>
          </w:p>
        </w:tc>
      </w:tr>
    </w:tbl>
    <w:p w:rsidR="00293DAD" w:rsidRDefault="00EE7003">
      <w:pPr>
        <w:widowControl/>
        <w:wordWrap w:val="0"/>
        <w:spacing w:line="600" w:lineRule="exact"/>
        <w:ind w:firstLine="562"/>
        <w:jc w:val="left"/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Times New Roman" w:eastAsia="楷体_GB2312" w:hAnsi="Times New Roman"/>
          <w:b/>
          <w:bCs/>
          <w:color w:val="333333"/>
          <w:kern w:val="0"/>
          <w:sz w:val="32"/>
          <w:szCs w:val="32"/>
          <w:shd w:val="clear" w:color="auto" w:fill="FFFFFF"/>
        </w:rPr>
        <w:t>按质量看，信息产业发展迅猛。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五年来，在建设网络强国战略的引领下，以互联网为代表的新一代信息技术产业紧抓机遇，快速发展，成为推动经济发展的重要力量。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2018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年末，我市信息传输、软件和信息技术服务业的规模、人员、资产和营业收入都实现了较大幅度的增长：法人单位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5.81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万个，比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2013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年末增加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5.02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万个，增长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6.3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倍；从业人员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53.74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万人，增长</w:t>
      </w:r>
    </w:p>
    <w:p w:rsidR="00293DAD" w:rsidRDefault="00EE7003">
      <w:pPr>
        <w:widowControl/>
        <w:wordWrap w:val="0"/>
        <w:spacing w:line="60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1.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  <w:shd w:val="clear" w:color="auto" w:fill="FFFFFF"/>
        </w:rPr>
        <w:t>4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倍；资产总计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0.66</w:t>
      </w:r>
      <w:proofErr w:type="gramStart"/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万亿</w:t>
      </w:r>
      <w:proofErr w:type="gramEnd"/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元，增长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1.1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倍；企业法人全年营业收入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0.34</w:t>
      </w:r>
      <w:proofErr w:type="gramStart"/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万亿</w:t>
      </w:r>
      <w:proofErr w:type="gramEnd"/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元，增长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1.7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倍。</w:t>
      </w:r>
    </w:p>
    <w:p w:rsidR="00293DAD" w:rsidRDefault="00EE7003">
      <w:pPr>
        <w:widowControl/>
        <w:wordWrap w:val="0"/>
        <w:spacing w:line="60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lastRenderedPageBreak/>
        <w:t xml:space="preserve">　　</w:t>
      </w:r>
      <w:r>
        <w:rPr>
          <w:rFonts w:ascii="Times New Roman" w:eastAsia="黑体" w:hAnsi="Times New Roman"/>
          <w:color w:val="333333"/>
          <w:kern w:val="0"/>
          <w:sz w:val="32"/>
          <w:szCs w:val="32"/>
          <w:shd w:val="clear" w:color="auto" w:fill="FFFFFF"/>
        </w:rPr>
        <w:t>四、企业主体作用凸显</w:t>
      </w:r>
    </w:p>
    <w:p w:rsidR="00293DAD" w:rsidRDefault="00EE7003">
      <w:pPr>
        <w:widowControl/>
        <w:wordWrap w:val="0"/>
        <w:spacing w:line="60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 xml:space="preserve">　　企业法人比例继续提高。随着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放管服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的持续深化，企业数量快速增长，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占</w:t>
      </w:r>
      <w:proofErr w:type="gramStart"/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比持续</w:t>
      </w:r>
      <w:proofErr w:type="gramEnd"/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提高。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2018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年末，全市共有企业法人单位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72.01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万个，比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2013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年末增加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54.13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万个，增长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3.0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倍，占全部法人单位的比重从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89.8%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提高到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95.8%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。</w:t>
      </w:r>
    </w:p>
    <w:p w:rsidR="00293DAD" w:rsidRDefault="00EE7003">
      <w:pPr>
        <w:widowControl/>
        <w:wordWrap w:val="0"/>
        <w:spacing w:line="400" w:lineRule="exact"/>
        <w:jc w:val="center"/>
        <w:rPr>
          <w:rFonts w:ascii="Times New Roman" w:eastAsiaTheme="minorEastAsia" w:hAnsi="Times New Roman"/>
          <w:b/>
          <w:bCs/>
          <w:sz w:val="24"/>
        </w:rPr>
      </w:pPr>
      <w:r>
        <w:rPr>
          <w:rFonts w:ascii="Times New Roman" w:eastAsiaTheme="minorEastAsia" w:hAnsi="Times New Roman"/>
          <w:b/>
          <w:bCs/>
          <w:color w:val="333333"/>
          <w:kern w:val="0"/>
          <w:sz w:val="24"/>
          <w:shd w:val="clear" w:color="auto" w:fill="FFFFFF"/>
        </w:rPr>
        <w:t>表</w:t>
      </w:r>
      <w:r>
        <w:rPr>
          <w:rFonts w:ascii="Times New Roman" w:eastAsiaTheme="minorEastAsia" w:hAnsi="Times New Roman" w:hint="eastAsia"/>
          <w:b/>
          <w:bCs/>
          <w:color w:val="333333"/>
          <w:kern w:val="0"/>
          <w:sz w:val="24"/>
          <w:shd w:val="clear" w:color="auto" w:fill="FFFFFF"/>
        </w:rPr>
        <w:t>2</w:t>
      </w:r>
      <w:r>
        <w:rPr>
          <w:rFonts w:ascii="Times New Roman" w:eastAsiaTheme="minorEastAsia" w:hAnsi="Times New Roman"/>
          <w:b/>
          <w:bCs/>
          <w:color w:val="333333"/>
          <w:kern w:val="0"/>
          <w:sz w:val="24"/>
          <w:shd w:val="clear" w:color="auto" w:fill="FFFFFF"/>
        </w:rPr>
        <w:t xml:space="preserve">　按机构类型分组的法人单位数</w:t>
      </w:r>
      <w:r>
        <w:rPr>
          <w:rFonts w:ascii="Times New Roman" w:eastAsiaTheme="minorEastAsia" w:hAnsi="Times New Roman"/>
          <w:b/>
          <w:bCs/>
          <w:color w:val="333333"/>
          <w:kern w:val="0"/>
          <w:sz w:val="24"/>
        </w:rPr>
        <w:t> </w:t>
      </w:r>
    </w:p>
    <w:tbl>
      <w:tblPr>
        <w:tblW w:w="830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7"/>
        <w:gridCol w:w="1403"/>
        <w:gridCol w:w="1374"/>
        <w:gridCol w:w="1718"/>
        <w:gridCol w:w="1411"/>
      </w:tblGrid>
      <w:tr w:rsidR="00293DAD">
        <w:trPr>
          <w:trHeight w:val="283"/>
          <w:jc w:val="center"/>
        </w:trPr>
        <w:tc>
          <w:tcPr>
            <w:tcW w:w="2397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jc w:val="left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777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ind w:left="57" w:right="57"/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211D1E"/>
                <w:kern w:val="0"/>
                <w:szCs w:val="21"/>
              </w:rPr>
              <w:t>2018</w:t>
            </w:r>
            <w:r>
              <w:rPr>
                <w:rFonts w:ascii="Times New Roman" w:eastAsiaTheme="minorEastAsia" w:hAnsi="Times New Roman"/>
                <w:b/>
                <w:bCs/>
                <w:color w:val="211D1E"/>
                <w:kern w:val="0"/>
                <w:szCs w:val="21"/>
              </w:rPr>
              <w:t>年</w:t>
            </w:r>
          </w:p>
        </w:tc>
        <w:tc>
          <w:tcPr>
            <w:tcW w:w="312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ind w:left="57" w:right="57"/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211D1E"/>
                <w:kern w:val="0"/>
                <w:szCs w:val="21"/>
              </w:rPr>
              <w:t>2013</w:t>
            </w:r>
            <w:r>
              <w:rPr>
                <w:rFonts w:ascii="Times New Roman" w:eastAsiaTheme="minorEastAsia" w:hAnsi="Times New Roman"/>
                <w:b/>
                <w:bCs/>
                <w:color w:val="211D1E"/>
                <w:kern w:val="0"/>
                <w:szCs w:val="21"/>
              </w:rPr>
              <w:t>年</w:t>
            </w:r>
          </w:p>
        </w:tc>
      </w:tr>
      <w:tr w:rsidR="00293DAD">
        <w:trPr>
          <w:trHeight w:val="283"/>
          <w:jc w:val="center"/>
        </w:trPr>
        <w:tc>
          <w:tcPr>
            <w:tcW w:w="2397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93DAD" w:rsidRDefault="00293DAD">
            <w:pPr>
              <w:spacing w:line="400" w:lineRule="exact"/>
              <w:rPr>
                <w:rFonts w:ascii="Times New Roman" w:eastAsiaTheme="minorEastAsia" w:hAnsi="Times New Roman"/>
                <w:color w:val="333333"/>
                <w:szCs w:val="21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ind w:left="57" w:right="57"/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211D1E"/>
                <w:kern w:val="0"/>
                <w:szCs w:val="21"/>
              </w:rPr>
              <w:t>数量</w:t>
            </w:r>
            <w:r>
              <w:rPr>
                <w:rFonts w:ascii="Times New Roman" w:eastAsiaTheme="minorEastAsia" w:hAnsi="Times New Roman"/>
                <w:b/>
                <w:bCs/>
                <w:color w:val="211D1E"/>
                <w:kern w:val="0"/>
                <w:szCs w:val="21"/>
              </w:rPr>
              <w:t>(</w:t>
            </w:r>
            <w:proofErr w:type="gramStart"/>
            <w:r>
              <w:rPr>
                <w:rFonts w:ascii="Times New Roman" w:eastAsiaTheme="minorEastAsia" w:hAnsi="Times New Roman"/>
                <w:b/>
                <w:bCs/>
                <w:color w:val="211D1E"/>
                <w:kern w:val="0"/>
                <w:szCs w:val="21"/>
              </w:rPr>
              <w:t>个</w:t>
            </w:r>
            <w:proofErr w:type="gramEnd"/>
            <w:r>
              <w:rPr>
                <w:rFonts w:ascii="Times New Roman" w:eastAsiaTheme="minorEastAsia" w:hAnsi="Times New Roman"/>
                <w:b/>
                <w:bCs/>
                <w:color w:val="211D1E"/>
                <w:kern w:val="0"/>
                <w:szCs w:val="21"/>
              </w:rPr>
              <w:t>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ind w:left="57" w:right="57"/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211D1E"/>
                <w:kern w:val="0"/>
                <w:szCs w:val="21"/>
              </w:rPr>
              <w:t>比重</w:t>
            </w:r>
            <w:r>
              <w:rPr>
                <w:rFonts w:ascii="Times New Roman" w:eastAsiaTheme="minorEastAsia" w:hAnsi="Times New Roman"/>
                <w:b/>
                <w:bCs/>
                <w:color w:val="211D1E"/>
                <w:kern w:val="0"/>
                <w:szCs w:val="21"/>
              </w:rPr>
              <w:t>(%)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ind w:left="57" w:right="57"/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211D1E"/>
                <w:kern w:val="0"/>
                <w:szCs w:val="21"/>
              </w:rPr>
              <w:t>数量</w:t>
            </w:r>
            <w:r>
              <w:rPr>
                <w:rFonts w:ascii="Times New Roman" w:eastAsiaTheme="minorEastAsia" w:hAnsi="Times New Roman"/>
                <w:b/>
                <w:bCs/>
                <w:color w:val="211D1E"/>
                <w:kern w:val="0"/>
                <w:szCs w:val="21"/>
              </w:rPr>
              <w:t>(</w:t>
            </w:r>
            <w:proofErr w:type="gramStart"/>
            <w:r>
              <w:rPr>
                <w:rFonts w:ascii="Times New Roman" w:eastAsiaTheme="minorEastAsia" w:hAnsi="Times New Roman"/>
                <w:b/>
                <w:bCs/>
                <w:color w:val="211D1E"/>
                <w:kern w:val="0"/>
                <w:szCs w:val="21"/>
              </w:rPr>
              <w:t>个</w:t>
            </w:r>
            <w:proofErr w:type="gramEnd"/>
            <w:r>
              <w:rPr>
                <w:rFonts w:ascii="Times New Roman" w:eastAsiaTheme="minorEastAsia" w:hAnsi="Times New Roman"/>
                <w:b/>
                <w:bCs/>
                <w:color w:val="211D1E"/>
                <w:kern w:val="0"/>
                <w:szCs w:val="21"/>
              </w:rPr>
              <w:t>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ind w:left="57" w:right="57"/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211D1E"/>
                <w:kern w:val="0"/>
                <w:szCs w:val="21"/>
              </w:rPr>
              <w:t>比重</w:t>
            </w:r>
            <w:r>
              <w:rPr>
                <w:rFonts w:ascii="Times New Roman" w:eastAsiaTheme="minorEastAsia" w:hAnsi="Times New Roman"/>
                <w:b/>
                <w:bCs/>
                <w:color w:val="211D1E"/>
                <w:kern w:val="0"/>
                <w:szCs w:val="21"/>
              </w:rPr>
              <w:t>(%)</w:t>
            </w:r>
          </w:p>
        </w:tc>
      </w:tr>
      <w:tr w:rsidR="00293DAD">
        <w:trPr>
          <w:trHeight w:val="283"/>
          <w:jc w:val="center"/>
        </w:trPr>
        <w:tc>
          <w:tcPr>
            <w:tcW w:w="23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ind w:left="57" w:right="57"/>
              <w:jc w:val="left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333333"/>
                <w:kern w:val="0"/>
                <w:szCs w:val="21"/>
              </w:rPr>
              <w:t>合</w:t>
            </w:r>
            <w:r>
              <w:rPr>
                <w:rFonts w:ascii="Times New Roman" w:eastAsiaTheme="minorEastAsia" w:hAnsi="Times New Roman"/>
                <w:b/>
                <w:bCs/>
                <w:color w:val="333333"/>
                <w:kern w:val="0"/>
                <w:szCs w:val="21"/>
              </w:rPr>
              <w:t> </w:t>
            </w:r>
            <w:r>
              <w:rPr>
                <w:rFonts w:ascii="Times New Roman" w:eastAsiaTheme="minorEastAsia" w:hAnsi="Times New Roman"/>
                <w:b/>
                <w:bCs/>
                <w:color w:val="333333"/>
                <w:kern w:val="0"/>
                <w:szCs w:val="21"/>
              </w:rPr>
              <w:t>计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top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  <w:t>751580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</w:tcPr>
          <w:p w:rsidR="00293DAD" w:rsidRDefault="00EE7003">
            <w:pPr>
              <w:widowControl/>
              <w:spacing w:line="400" w:lineRule="exact"/>
              <w:ind w:right="110"/>
              <w:jc w:val="right"/>
              <w:textAlignment w:val="top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  <w:t>100.0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jc w:val="right"/>
              <w:textAlignment w:val="top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  <w:t xml:space="preserve">199241 </w:t>
            </w:r>
          </w:p>
        </w:tc>
        <w:tc>
          <w:tcPr>
            <w:tcW w:w="1411" w:type="dxa"/>
            <w:noWrap/>
            <w:vAlign w:val="center"/>
          </w:tcPr>
          <w:p w:rsidR="00293DAD" w:rsidRDefault="00EE7003">
            <w:pPr>
              <w:widowControl/>
              <w:spacing w:line="400" w:lineRule="exact"/>
              <w:jc w:val="right"/>
              <w:textAlignment w:val="top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000000"/>
                <w:kern w:val="0"/>
                <w:szCs w:val="21"/>
              </w:rPr>
              <w:t>100.0</w:t>
            </w:r>
          </w:p>
        </w:tc>
      </w:tr>
      <w:tr w:rsidR="00293DAD">
        <w:trPr>
          <w:trHeight w:val="283"/>
          <w:jc w:val="center"/>
        </w:trPr>
        <w:tc>
          <w:tcPr>
            <w:tcW w:w="23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ind w:left="57" w:right="57"/>
              <w:jc w:val="left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color w:val="333333"/>
                <w:kern w:val="0"/>
                <w:szCs w:val="21"/>
              </w:rPr>
              <w:t>企业法人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top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720114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top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95.8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jc w:val="right"/>
              <w:textAlignment w:val="top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 xml:space="preserve">178839 </w:t>
            </w:r>
          </w:p>
        </w:tc>
        <w:tc>
          <w:tcPr>
            <w:tcW w:w="1411" w:type="dxa"/>
            <w:noWrap/>
            <w:vAlign w:val="center"/>
          </w:tcPr>
          <w:p w:rsidR="00293DAD" w:rsidRDefault="00EE7003">
            <w:pPr>
              <w:widowControl/>
              <w:spacing w:line="400" w:lineRule="exact"/>
              <w:jc w:val="right"/>
              <w:textAlignment w:val="top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89.8</w:t>
            </w:r>
          </w:p>
        </w:tc>
      </w:tr>
      <w:tr w:rsidR="00293DAD">
        <w:trPr>
          <w:trHeight w:val="283"/>
          <w:jc w:val="center"/>
        </w:trPr>
        <w:tc>
          <w:tcPr>
            <w:tcW w:w="2397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ind w:left="57" w:right="57"/>
              <w:jc w:val="left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color w:val="333333"/>
                <w:kern w:val="0"/>
                <w:szCs w:val="21"/>
              </w:rPr>
              <w:t>机关、事业法人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top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11152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top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jc w:val="right"/>
              <w:textAlignment w:val="top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 xml:space="preserve">6286 </w:t>
            </w:r>
          </w:p>
        </w:tc>
        <w:tc>
          <w:tcPr>
            <w:tcW w:w="1411" w:type="dxa"/>
            <w:noWrap/>
            <w:vAlign w:val="center"/>
          </w:tcPr>
          <w:p w:rsidR="00293DAD" w:rsidRDefault="00EE7003">
            <w:pPr>
              <w:widowControl/>
              <w:spacing w:line="400" w:lineRule="exact"/>
              <w:jc w:val="right"/>
              <w:textAlignment w:val="top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3.2</w:t>
            </w:r>
          </w:p>
        </w:tc>
      </w:tr>
      <w:tr w:rsidR="00293DAD">
        <w:trPr>
          <w:trHeight w:val="283"/>
          <w:jc w:val="center"/>
        </w:trPr>
        <w:tc>
          <w:tcPr>
            <w:tcW w:w="2397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ind w:left="57" w:right="57"/>
              <w:jc w:val="left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color w:val="333333"/>
                <w:kern w:val="0"/>
                <w:szCs w:val="21"/>
              </w:rPr>
              <w:t>社会团体和其他法人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top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20314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</w:tcPr>
          <w:p w:rsidR="00293DAD" w:rsidRDefault="00EE7003">
            <w:pPr>
              <w:widowControl/>
              <w:wordWrap w:val="0"/>
              <w:spacing w:line="400" w:lineRule="exact"/>
              <w:ind w:right="110"/>
              <w:jc w:val="right"/>
              <w:textAlignment w:val="top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2.7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jc w:val="right"/>
              <w:textAlignment w:val="top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 xml:space="preserve">14116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293DAD" w:rsidRDefault="00EE7003">
            <w:pPr>
              <w:widowControl/>
              <w:spacing w:line="400" w:lineRule="exact"/>
              <w:jc w:val="right"/>
              <w:textAlignment w:val="top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7.1</w:t>
            </w:r>
          </w:p>
        </w:tc>
      </w:tr>
      <w:tr w:rsidR="00293DAD">
        <w:trPr>
          <w:trHeight w:val="283"/>
          <w:jc w:val="center"/>
        </w:trPr>
        <w:tc>
          <w:tcPr>
            <w:tcW w:w="8303" w:type="dxa"/>
            <w:gridSpan w:val="5"/>
            <w:noWrap/>
            <w:vAlign w:val="center"/>
          </w:tcPr>
          <w:p w:rsidR="00293DAD" w:rsidRDefault="00EE7003">
            <w:pPr>
              <w:widowControl/>
              <w:spacing w:line="400" w:lineRule="exact"/>
              <w:ind w:left="57" w:right="57"/>
              <w:jc w:val="left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color w:val="333333"/>
                <w:kern w:val="0"/>
                <w:szCs w:val="21"/>
              </w:rPr>
              <w:t>注：因四舍五入原因，存在分项合计与总计不等的情况。</w:t>
            </w:r>
          </w:p>
        </w:tc>
      </w:tr>
    </w:tbl>
    <w:p w:rsidR="00293DAD" w:rsidRDefault="00EE7003">
      <w:pPr>
        <w:pStyle w:val="2"/>
        <w:tabs>
          <w:tab w:val="left" w:pos="1044"/>
        </w:tabs>
        <w:spacing w:after="0"/>
        <w:ind w:leftChars="0" w:left="0" w:firstLineChars="200" w:firstLine="640"/>
        <w:rPr>
          <w:rFonts w:ascii="Times New Roman" w:eastAsia="黑体" w:hAnsi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color w:val="333333"/>
          <w:kern w:val="0"/>
          <w:sz w:val="32"/>
          <w:szCs w:val="32"/>
          <w:shd w:val="clear" w:color="auto" w:fill="FFFFFF"/>
        </w:rPr>
        <w:t>五、区域经济良性互动，分布格局优化</w:t>
      </w:r>
    </w:p>
    <w:p w:rsidR="00293DAD" w:rsidRDefault="00EE7003">
      <w:pPr>
        <w:pStyle w:val="2"/>
        <w:tabs>
          <w:tab w:val="left" w:pos="1044"/>
        </w:tabs>
        <w:spacing w:after="0"/>
        <w:ind w:leftChars="0" w:left="0" w:firstLineChars="200" w:firstLine="640"/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五年来，我市各区立足区位特点和优势，呈现出不同的发展特点。</w:t>
      </w:r>
      <w:r>
        <w:rPr>
          <w:rFonts w:ascii="Times New Roman" w:eastAsia="仿宋_GB2312" w:hAnsi="Times New Roman"/>
          <w:b/>
          <w:bCs/>
          <w:color w:val="333333"/>
          <w:kern w:val="0"/>
          <w:sz w:val="32"/>
          <w:szCs w:val="32"/>
          <w:shd w:val="clear" w:color="auto" w:fill="FFFFFF"/>
        </w:rPr>
        <w:t>从数量上看，天河区、白云区、</w:t>
      </w:r>
      <w:proofErr w:type="gramStart"/>
      <w:r>
        <w:rPr>
          <w:rFonts w:ascii="Times New Roman" w:eastAsia="仿宋_GB2312" w:hAnsi="Times New Roman"/>
          <w:b/>
          <w:bCs/>
          <w:color w:val="333333"/>
          <w:kern w:val="0"/>
          <w:sz w:val="32"/>
          <w:szCs w:val="32"/>
          <w:shd w:val="clear" w:color="auto" w:fill="FFFFFF"/>
        </w:rPr>
        <w:t>番禺区</w:t>
      </w:r>
      <w:proofErr w:type="gramEnd"/>
      <w:r>
        <w:rPr>
          <w:rFonts w:ascii="Times New Roman" w:eastAsia="仿宋_GB2312" w:hAnsi="Times New Roman"/>
          <w:b/>
          <w:bCs/>
          <w:color w:val="333333"/>
          <w:kern w:val="0"/>
          <w:sz w:val="32"/>
          <w:szCs w:val="32"/>
          <w:shd w:val="clear" w:color="auto" w:fill="FFFFFF"/>
        </w:rPr>
        <w:t>三足鼎立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，法人单位数分别为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18.93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万、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13.32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万和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8.63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万；</w:t>
      </w:r>
      <w:r>
        <w:rPr>
          <w:rFonts w:ascii="Times New Roman" w:eastAsia="仿宋_GB2312" w:hAnsi="Times New Roman"/>
          <w:b/>
          <w:bCs/>
          <w:color w:val="333333"/>
          <w:kern w:val="0"/>
          <w:sz w:val="32"/>
          <w:szCs w:val="32"/>
          <w:shd w:val="clear" w:color="auto" w:fill="FFFFFF"/>
        </w:rPr>
        <w:t>从增速上看，南沙区一马当先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，法人单位数增长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10.9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倍，其次为天河区和白云区，增速分别为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4.8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倍和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3.8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倍。</w:t>
      </w:r>
    </w:p>
    <w:p w:rsidR="00293DAD" w:rsidRDefault="00EE7003">
      <w:pPr>
        <w:pStyle w:val="2"/>
        <w:ind w:leftChars="0" w:left="0" w:firstLine="0"/>
        <w:jc w:val="center"/>
        <w:rPr>
          <w:rFonts w:ascii="Times New Roman" w:eastAsia="黑体" w:hAnsi="Times New Roman"/>
          <w:color w:val="333333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Style w:val="font51"/>
          <w:rFonts w:ascii="Times New Roman" w:hAnsi="Times New Roman" w:cs="Times New Roman" w:hint="default"/>
        </w:rPr>
        <w:t>表</w:t>
      </w:r>
      <w:r>
        <w:rPr>
          <w:rStyle w:val="font51"/>
          <w:rFonts w:ascii="Times New Roman" w:hAnsi="Times New Roman" w:cs="Times New Roman" w:hint="default"/>
        </w:rPr>
        <w:t>3</w:t>
      </w:r>
      <w:r>
        <w:rPr>
          <w:rStyle w:val="font51"/>
          <w:rFonts w:ascii="Times New Roman" w:hAnsi="Times New Roman" w:cs="Times New Roman" w:hint="default"/>
        </w:rPr>
        <w:t xml:space="preserve">　按地区分组的法人单位数</w:t>
      </w:r>
    </w:p>
    <w:tbl>
      <w:tblPr>
        <w:tblW w:w="834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6"/>
        <w:gridCol w:w="1663"/>
        <w:gridCol w:w="1693"/>
        <w:gridCol w:w="1588"/>
        <w:gridCol w:w="1662"/>
      </w:tblGrid>
      <w:tr w:rsidR="00293DAD" w:rsidTr="00F543AB">
        <w:trPr>
          <w:trHeight w:val="429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AD" w:rsidRDefault="00293DAD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2018</w:t>
            </w:r>
            <w:r>
              <w:rPr>
                <w:rFonts w:ascii="Times New Roman" w:hAnsi="Times New Roman"/>
                <w:b/>
                <w:color w:val="000000"/>
                <w:szCs w:val="21"/>
              </w:rPr>
              <w:t>年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3DAD" w:rsidRDefault="00EE700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2013</w:t>
            </w: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年</w:t>
            </w:r>
          </w:p>
        </w:tc>
      </w:tr>
      <w:tr w:rsidR="00293DAD" w:rsidTr="00F543AB">
        <w:trPr>
          <w:trHeight w:val="379"/>
          <w:jc w:val="center"/>
        </w:trPr>
        <w:tc>
          <w:tcPr>
            <w:tcW w:w="17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AD" w:rsidRDefault="00293DAD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数量</w:t>
            </w: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个</w:t>
            </w:r>
            <w:proofErr w:type="gramEnd"/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比重</w:t>
            </w: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(%)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数量</w:t>
            </w: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个</w:t>
            </w:r>
            <w:proofErr w:type="gramEnd"/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3DAD" w:rsidRDefault="00EE700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比重</w:t>
            </w: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(%)</w:t>
            </w:r>
          </w:p>
        </w:tc>
      </w:tr>
      <w:tr w:rsidR="00293DAD" w:rsidTr="00F543AB">
        <w:trPr>
          <w:trHeight w:val="301"/>
          <w:jc w:val="center"/>
        </w:trPr>
        <w:tc>
          <w:tcPr>
            <w:tcW w:w="173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合</w:t>
            </w: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wordWrap w:val="0"/>
              <w:ind w:right="110"/>
              <w:jc w:val="right"/>
              <w:textAlignment w:val="top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751580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wordWrap w:val="0"/>
              <w:ind w:right="110"/>
              <w:jc w:val="right"/>
              <w:textAlignment w:val="top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100.0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wordWrap w:val="0"/>
              <w:ind w:right="110"/>
              <w:jc w:val="right"/>
              <w:textAlignment w:val="top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 xml:space="preserve">199241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293DAD" w:rsidRDefault="00EE7003">
            <w:pPr>
              <w:widowControl/>
              <w:wordWrap w:val="0"/>
              <w:ind w:right="110"/>
              <w:jc w:val="right"/>
              <w:textAlignment w:val="top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100.0</w:t>
            </w:r>
          </w:p>
        </w:tc>
      </w:tr>
      <w:tr w:rsidR="00293DAD" w:rsidTr="00F543AB">
        <w:trPr>
          <w:trHeight w:val="301"/>
          <w:jc w:val="center"/>
        </w:trPr>
        <w:tc>
          <w:tcPr>
            <w:tcW w:w="17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荔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湾区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wordWrap w:val="0"/>
              <w:ind w:right="110"/>
              <w:jc w:val="right"/>
              <w:textAlignment w:val="top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28233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wordWrap w:val="0"/>
              <w:ind w:right="110"/>
              <w:jc w:val="right"/>
              <w:textAlignment w:val="top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3.8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12791 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293DAD" w:rsidRDefault="00EE7003">
            <w:pPr>
              <w:widowControl/>
              <w:jc w:val="right"/>
              <w:textAlignment w:val="bottom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6.4</w:t>
            </w:r>
          </w:p>
        </w:tc>
      </w:tr>
      <w:tr w:rsidR="00293DAD" w:rsidTr="00F543AB">
        <w:trPr>
          <w:trHeight w:val="316"/>
          <w:jc w:val="center"/>
        </w:trPr>
        <w:tc>
          <w:tcPr>
            <w:tcW w:w="17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wordWrap w:val="0"/>
              <w:ind w:right="110"/>
              <w:jc w:val="right"/>
              <w:textAlignment w:val="top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61445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wordWrap w:val="0"/>
              <w:ind w:right="110"/>
              <w:jc w:val="right"/>
              <w:textAlignment w:val="top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8.2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29774 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293DAD" w:rsidRDefault="00EE7003">
            <w:pPr>
              <w:widowControl/>
              <w:jc w:val="right"/>
              <w:textAlignment w:val="bottom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14.9</w:t>
            </w:r>
          </w:p>
        </w:tc>
      </w:tr>
      <w:tr w:rsidR="00293DAD" w:rsidTr="00F543AB">
        <w:trPr>
          <w:trHeight w:val="316"/>
          <w:jc w:val="center"/>
        </w:trPr>
        <w:tc>
          <w:tcPr>
            <w:tcW w:w="17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wordWrap w:val="0"/>
              <w:ind w:right="110"/>
              <w:jc w:val="right"/>
              <w:textAlignment w:val="top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54966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wordWrap w:val="0"/>
              <w:ind w:right="110"/>
              <w:jc w:val="right"/>
              <w:textAlignment w:val="top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7.3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24653 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293DAD" w:rsidRDefault="00EE7003">
            <w:pPr>
              <w:widowControl/>
              <w:jc w:val="right"/>
              <w:textAlignment w:val="bottom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12.4</w:t>
            </w:r>
          </w:p>
        </w:tc>
      </w:tr>
      <w:tr w:rsidR="00293DAD" w:rsidTr="00F543AB">
        <w:trPr>
          <w:trHeight w:val="316"/>
          <w:jc w:val="center"/>
        </w:trPr>
        <w:tc>
          <w:tcPr>
            <w:tcW w:w="17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wordWrap w:val="0"/>
              <w:ind w:right="110"/>
              <w:jc w:val="right"/>
              <w:textAlignment w:val="top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189342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wordWrap w:val="0"/>
              <w:ind w:right="110"/>
              <w:jc w:val="right"/>
              <w:textAlignment w:val="top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25.2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32880 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293DAD" w:rsidRDefault="00EE7003">
            <w:pPr>
              <w:widowControl/>
              <w:jc w:val="right"/>
              <w:textAlignment w:val="bottom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16.5</w:t>
            </w:r>
          </w:p>
        </w:tc>
      </w:tr>
      <w:tr w:rsidR="00293DAD" w:rsidTr="00F543AB">
        <w:trPr>
          <w:trHeight w:val="316"/>
          <w:jc w:val="center"/>
        </w:trPr>
        <w:tc>
          <w:tcPr>
            <w:tcW w:w="17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wordWrap w:val="0"/>
              <w:ind w:right="110"/>
              <w:jc w:val="right"/>
              <w:textAlignment w:val="top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133242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wordWrap w:val="0"/>
              <w:ind w:right="110"/>
              <w:jc w:val="right"/>
              <w:textAlignment w:val="top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17.7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27869 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293DAD" w:rsidRDefault="00EE7003">
            <w:pPr>
              <w:widowControl/>
              <w:jc w:val="right"/>
              <w:textAlignment w:val="bottom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14.0</w:t>
            </w:r>
          </w:p>
        </w:tc>
      </w:tr>
      <w:tr w:rsidR="00293DAD" w:rsidTr="00F543AB">
        <w:trPr>
          <w:trHeight w:val="316"/>
          <w:jc w:val="center"/>
        </w:trPr>
        <w:tc>
          <w:tcPr>
            <w:tcW w:w="17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wordWrap w:val="0"/>
              <w:ind w:right="110"/>
              <w:jc w:val="right"/>
              <w:textAlignment w:val="top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47393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wordWrap w:val="0"/>
              <w:ind w:right="110"/>
              <w:jc w:val="right"/>
              <w:textAlignment w:val="top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6.3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13625 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293DAD" w:rsidRDefault="00EE7003">
            <w:pPr>
              <w:widowControl/>
              <w:jc w:val="right"/>
              <w:textAlignment w:val="bottom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6.8</w:t>
            </w:r>
          </w:p>
        </w:tc>
      </w:tr>
      <w:tr w:rsidR="00293DAD" w:rsidTr="00F543AB">
        <w:trPr>
          <w:trHeight w:val="316"/>
          <w:jc w:val="center"/>
        </w:trPr>
        <w:tc>
          <w:tcPr>
            <w:tcW w:w="17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</w:rPr>
              <w:lastRenderedPageBreak/>
              <w:t>番禺区</w:t>
            </w:r>
            <w:proofErr w:type="gramEnd"/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wordWrap w:val="0"/>
              <w:ind w:right="110"/>
              <w:jc w:val="right"/>
              <w:textAlignment w:val="top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86271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wordWrap w:val="0"/>
              <w:ind w:right="110"/>
              <w:jc w:val="right"/>
              <w:textAlignment w:val="top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11.5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22765 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293DAD" w:rsidRDefault="00EE7003">
            <w:pPr>
              <w:widowControl/>
              <w:jc w:val="right"/>
              <w:textAlignment w:val="bottom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11.4</w:t>
            </w:r>
          </w:p>
        </w:tc>
      </w:tr>
      <w:tr w:rsidR="00293DAD" w:rsidTr="00F543AB">
        <w:trPr>
          <w:trHeight w:val="316"/>
          <w:jc w:val="center"/>
        </w:trPr>
        <w:tc>
          <w:tcPr>
            <w:tcW w:w="17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wordWrap w:val="0"/>
              <w:ind w:right="110"/>
              <w:jc w:val="right"/>
              <w:textAlignment w:val="top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39381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wordWrap w:val="0"/>
              <w:ind w:right="110"/>
              <w:jc w:val="right"/>
              <w:textAlignment w:val="top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5.2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13823 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293DAD" w:rsidRDefault="00EE7003">
            <w:pPr>
              <w:widowControl/>
              <w:jc w:val="right"/>
              <w:textAlignment w:val="bottom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6.9</w:t>
            </w:r>
          </w:p>
        </w:tc>
      </w:tr>
      <w:tr w:rsidR="00293DAD" w:rsidTr="00F543AB">
        <w:trPr>
          <w:trHeight w:val="316"/>
          <w:jc w:val="center"/>
        </w:trPr>
        <w:tc>
          <w:tcPr>
            <w:tcW w:w="17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wordWrap w:val="0"/>
              <w:ind w:right="110"/>
              <w:jc w:val="right"/>
              <w:textAlignment w:val="top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62916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wordWrap w:val="0"/>
              <w:ind w:right="110"/>
              <w:jc w:val="right"/>
              <w:textAlignment w:val="top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8.4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5279 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293DAD" w:rsidRDefault="00EE7003">
            <w:pPr>
              <w:widowControl/>
              <w:jc w:val="right"/>
              <w:textAlignment w:val="bottom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2.6</w:t>
            </w:r>
          </w:p>
        </w:tc>
      </w:tr>
      <w:tr w:rsidR="00293DAD" w:rsidTr="00F543AB">
        <w:trPr>
          <w:trHeight w:val="316"/>
          <w:jc w:val="center"/>
        </w:trPr>
        <w:tc>
          <w:tcPr>
            <w:tcW w:w="17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wordWrap w:val="0"/>
              <w:ind w:right="110"/>
              <w:jc w:val="right"/>
              <w:textAlignment w:val="top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12019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wordWrap w:val="0"/>
              <w:ind w:right="110"/>
              <w:jc w:val="right"/>
              <w:textAlignment w:val="top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1.6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4751 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293DAD" w:rsidRDefault="00EE7003">
            <w:pPr>
              <w:widowControl/>
              <w:jc w:val="right"/>
              <w:textAlignment w:val="bottom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2.4</w:t>
            </w:r>
          </w:p>
        </w:tc>
      </w:tr>
      <w:tr w:rsidR="00293DAD" w:rsidTr="00F543AB">
        <w:trPr>
          <w:trHeight w:val="301"/>
          <w:jc w:val="center"/>
        </w:trPr>
        <w:tc>
          <w:tcPr>
            <w:tcW w:w="173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wordWrap w:val="0"/>
              <w:ind w:right="110"/>
              <w:jc w:val="right"/>
              <w:textAlignment w:val="top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36372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wordWrap w:val="0"/>
              <w:ind w:right="110"/>
              <w:jc w:val="right"/>
              <w:textAlignment w:val="top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4.8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DAD" w:rsidRDefault="00EE7003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11031 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293DAD" w:rsidRDefault="00EE7003">
            <w:pPr>
              <w:widowControl/>
              <w:jc w:val="right"/>
              <w:textAlignment w:val="bottom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5.5</w:t>
            </w:r>
          </w:p>
        </w:tc>
      </w:tr>
    </w:tbl>
    <w:p w:rsidR="00293DAD" w:rsidRDefault="00293DAD">
      <w:pPr>
        <w:pStyle w:val="2"/>
        <w:ind w:firstLine="0"/>
        <w:rPr>
          <w:rFonts w:ascii="Times New Roman" w:hAnsi="Times New Roman"/>
        </w:rPr>
      </w:pPr>
    </w:p>
    <w:p w:rsidR="00293DAD" w:rsidRDefault="00EE7003">
      <w:pPr>
        <w:widowControl/>
        <w:wordWrap w:val="0"/>
        <w:spacing w:line="60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注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[1]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：产业活动单位是指具备以下条件的单位：（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）在一个场所从事一种或主要从事一种社会经济活动；（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）相对独立组织生产活动或经营活动；（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3</w:t>
      </w:r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）能提供收入、支出等相关资料。产业活动单位包括</w:t>
      </w:r>
      <w:proofErr w:type="gramStart"/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单产业</w:t>
      </w:r>
      <w:proofErr w:type="gramEnd"/>
      <w:r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  <w:t>法人单位和多产业法人单位所属的产业活动单位。</w:t>
      </w:r>
    </w:p>
    <w:p w:rsidR="00293DAD" w:rsidRDefault="00293DAD">
      <w:pPr>
        <w:pStyle w:val="2"/>
        <w:ind w:firstLine="0"/>
        <w:rPr>
          <w:rFonts w:ascii="Times New Roman" w:hAnsi="Times New Roman"/>
        </w:rPr>
      </w:pPr>
    </w:p>
    <w:p w:rsidR="00293DAD" w:rsidRDefault="00EE7003">
      <w:pPr>
        <w:pStyle w:val="2"/>
        <w:wordWrap w:val="0"/>
        <w:ind w:firstLine="0"/>
        <w:jc w:val="right"/>
        <w:rPr>
          <w:rFonts w:ascii="Times New Roman" w:eastAsia="仿宋_GB2312" w:hAnsi="Times New Roman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  <w:shd w:val="clear" w:color="auto" w:fill="FFFFFF"/>
        </w:rPr>
        <w:t>（普查中心）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  <w:shd w:val="clear" w:color="auto" w:fill="FFFFFF"/>
        </w:rPr>
        <w:t xml:space="preserve">  </w:t>
      </w:r>
    </w:p>
    <w:p w:rsidR="00293DAD" w:rsidRDefault="00293DAD"/>
    <w:sectPr w:rsidR="00293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4ADEC1"/>
    <w:multiLevelType w:val="singleLevel"/>
    <w:tmpl w:val="CD4ADEC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84913"/>
    <w:rsid w:val="00293DAD"/>
    <w:rsid w:val="00EE7003"/>
    <w:rsid w:val="00F543AB"/>
    <w:rsid w:val="11B8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"/>
    <w:qFormat/>
    <w:pPr>
      <w:spacing w:after="120"/>
      <w:ind w:leftChars="200" w:left="420" w:firstLine="420"/>
    </w:p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"/>
    <w:qFormat/>
    <w:pPr>
      <w:spacing w:after="120"/>
      <w:ind w:leftChars="200" w:left="420" w:firstLine="420"/>
    </w:p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董曼虹</dc:creator>
  <cp:lastModifiedBy>뙀ϖ</cp:lastModifiedBy>
  <cp:revision>3</cp:revision>
  <dcterms:created xsi:type="dcterms:W3CDTF">2020-04-17T01:12:00Z</dcterms:created>
  <dcterms:modified xsi:type="dcterms:W3CDTF">2020-04-17T01:19:00Z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